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FD3" w:rsidRPr="00D12255" w:rsidRDefault="00E355C4" w:rsidP="00D12255">
      <w:pPr>
        <w:spacing w:after="0"/>
        <w:ind w:right="255"/>
        <w:jc w:val="center"/>
        <w:rPr>
          <w:rFonts w:ascii="Times New Roman" w:hAnsi="Times New Roman" w:cs="Times New Roman"/>
          <w:sz w:val="24"/>
          <w:szCs w:val="24"/>
        </w:rPr>
      </w:pPr>
      <w:r w:rsidRPr="00387D05">
        <w:rPr>
          <w:color w:val="FFFFFF"/>
          <w:sz w:val="24"/>
          <w:szCs w:val="24"/>
        </w:rPr>
        <w:t xml:space="preserve"> </w:t>
      </w: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>OБАВЕШТЕЊЕ</w:t>
      </w:r>
    </w:p>
    <w:p w:rsidR="00387D05" w:rsidRPr="00D12255" w:rsidRDefault="00E355C4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 xml:space="preserve">О ЗАКЉУЧЕНОМ УГОВОРУ </w:t>
      </w:r>
    </w:p>
    <w:p w:rsidR="00B35E0B" w:rsidRPr="00D12255" w:rsidRDefault="00B35E0B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245" w:type="dxa"/>
        <w:tblInd w:w="110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3181"/>
        <w:gridCol w:w="6064"/>
      </w:tblGrid>
      <w:tr w:rsidR="00CA7FD3" w:rsidRPr="00B152F8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B152F8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2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Назив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B152F8" w:rsidRDefault="00706F1F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152F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грађевинарства, саобраћаја и инфраструктуре</w:t>
            </w:r>
          </w:p>
        </w:tc>
      </w:tr>
      <w:tr w:rsidR="00CA7FD3" w:rsidRPr="00B152F8" w:rsidTr="00650B1A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B152F8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2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Адреса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B152F8" w:rsidRDefault="00E355C4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2F8"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Београд, Немањина 22-26</w:t>
            </w:r>
          </w:p>
        </w:tc>
      </w:tr>
      <w:tr w:rsidR="00CA7FD3" w:rsidRPr="00B152F8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B152F8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2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Интернет страница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B152F8" w:rsidRDefault="00E355C4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2F8">
              <w:rPr>
                <w:rFonts w:ascii="Times New Roman" w:eastAsia="Times New Roman" w:hAnsi="Times New Roman" w:cs="Times New Roman"/>
                <w:sz w:val="24"/>
                <w:szCs w:val="24"/>
              </w:rPr>
              <w:t>www.</w:t>
            </w:r>
            <w:r w:rsidR="00706F1F" w:rsidRPr="00B152F8">
              <w:rPr>
                <w:rFonts w:ascii="Times New Roman" w:eastAsia="Times New Roman" w:hAnsi="Times New Roman" w:cs="Times New Roman"/>
                <w:sz w:val="24"/>
                <w:szCs w:val="24"/>
              </w:rPr>
              <w:t>mgsi.gov.rs</w:t>
            </w:r>
          </w:p>
        </w:tc>
      </w:tr>
      <w:tr w:rsidR="00CA7FD3" w:rsidRPr="00B152F8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B152F8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2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Врста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B152F8" w:rsidRDefault="00E355C4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2F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 државне управе</w:t>
            </w:r>
          </w:p>
        </w:tc>
      </w:tr>
      <w:tr w:rsidR="00CA7FD3" w:rsidRPr="00B152F8" w:rsidTr="00650B1A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B152F8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2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Врста предмета: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B152F8" w:rsidRDefault="00B152F8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152F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Услуге</w:t>
            </w:r>
          </w:p>
        </w:tc>
      </w:tr>
      <w:tr w:rsidR="00CA7FD3" w:rsidRPr="00B152F8" w:rsidTr="00650B1A">
        <w:trPr>
          <w:trHeight w:val="178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31435" w:rsidRPr="00B152F8" w:rsidRDefault="00031435" w:rsidP="002828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152F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Oпис предмета набавке, назив и ознака из општег речника набавке: </w:t>
            </w:r>
          </w:p>
          <w:p w:rsidR="00CA7FD3" w:rsidRPr="00B152F8" w:rsidRDefault="00CA7FD3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B152F8" w:rsidRDefault="00B152F8" w:rsidP="00074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2F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</w:t>
            </w:r>
            <w:r w:rsidRPr="00B152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слуге надзорног органа који ће вршити стручни надзор над извођењем радова на изградњи аутопута Е-763, деоница Прељина-Пожега</w:t>
            </w:r>
            <w:r w:rsidRPr="00B152F8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. </w:t>
            </w:r>
            <w:r w:rsidRPr="00B152F8">
              <w:rPr>
                <w:rFonts w:ascii="Times New Roman" w:hAnsi="Times New Roman" w:cs="Times New Roman"/>
                <w:kern w:val="1"/>
                <w:sz w:val="24"/>
                <w:szCs w:val="24"/>
                <w:lang w:val="sr-Cyrl-CS" w:eastAsia="ar-SA"/>
              </w:rPr>
              <w:t xml:space="preserve">Назив и ознака из општег речника набавки: </w:t>
            </w:r>
            <w:r w:rsidRPr="00B152F8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>71520000 - Услуге грађевинског надзора</w:t>
            </w:r>
            <w:r w:rsidRPr="00B152F8"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CA7FD3" w:rsidRPr="00B152F8" w:rsidTr="00650B1A">
        <w:trPr>
          <w:trHeight w:val="475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B152F8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2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Уговорена вредност: 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B152F8" w:rsidRDefault="00B152F8" w:rsidP="00B152F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152F8"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ru-RU" w:eastAsia="ar-SA"/>
              </w:rPr>
              <w:t>954.800.000,00</w:t>
            </w:r>
            <w:r w:rsidRPr="00B152F8"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динара без</w:t>
            </w:r>
            <w:bookmarkStart w:id="0" w:name="_GoBack"/>
            <w:bookmarkEnd w:id="0"/>
            <w:r w:rsidR="00D12255" w:rsidRPr="00B152F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ПДВ-а, </w:t>
            </w:r>
          </w:p>
        </w:tc>
      </w:tr>
      <w:tr w:rsidR="00CA7FD3" w:rsidRPr="00B152F8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B152F8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2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Критеријум за доделу уговора: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B152F8" w:rsidRDefault="00B152F8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152F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sr-Cyrl-CS"/>
              </w:rPr>
              <w:t>Најнижа понуђена цена</w:t>
            </w:r>
          </w:p>
        </w:tc>
      </w:tr>
      <w:tr w:rsidR="00CA7FD3" w:rsidRPr="00B152F8" w:rsidTr="00650B1A">
        <w:trPr>
          <w:trHeight w:val="519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B152F8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2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Број примљених понуда: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B152F8" w:rsidRDefault="00D4043A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B152F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1</w:t>
            </w:r>
          </w:p>
        </w:tc>
      </w:tr>
      <w:tr w:rsidR="00CA7FD3" w:rsidRPr="00B152F8" w:rsidTr="00074EA2">
        <w:trPr>
          <w:trHeight w:val="4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B152F8" w:rsidRDefault="005A7C66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2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Понуђене  цене</w:t>
            </w:r>
            <w:r w:rsidR="00E355C4" w:rsidRPr="00B152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134C7" w:rsidRPr="00B152F8" w:rsidRDefault="00B152F8" w:rsidP="00074EA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val="sr-Cyrl-CS"/>
              </w:rPr>
            </w:pPr>
            <w:r w:rsidRPr="00B152F8"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ru-RU" w:eastAsia="ar-SA"/>
              </w:rPr>
              <w:t>954.800.000,00</w:t>
            </w:r>
            <w:r w:rsidRPr="00B152F8"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ru-RU" w:eastAsia="ar-SA"/>
              </w:rPr>
              <w:t xml:space="preserve"> </w:t>
            </w:r>
            <w:r w:rsidR="00D4043A" w:rsidRPr="00B152F8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val="sr-Cyrl-CS"/>
              </w:rPr>
              <w:t>динара без ПДВ-а,</w:t>
            </w:r>
          </w:p>
        </w:tc>
      </w:tr>
      <w:tr w:rsidR="00CA7FD3" w:rsidRPr="00B152F8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B152F8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2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Понуђена цена код прихватљивих понуда: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B152F8" w:rsidRDefault="00B152F8" w:rsidP="00074EA2">
            <w:pPr>
              <w:pStyle w:val="Default"/>
              <w:jc w:val="center"/>
              <w:rPr>
                <w:color w:val="auto"/>
              </w:rPr>
            </w:pPr>
            <w:r w:rsidRPr="00B152F8">
              <w:rPr>
                <w:rFonts w:eastAsia="TimesNewRomanPSMT"/>
                <w:bCs/>
                <w:kern w:val="2"/>
                <w:lang w:val="ru-RU" w:eastAsia="ar-SA"/>
              </w:rPr>
              <w:t>954.800.000,00</w:t>
            </w:r>
            <w:r w:rsidRPr="00B152F8">
              <w:rPr>
                <w:rFonts w:eastAsia="TimesNewRomanPSMT"/>
                <w:bCs/>
                <w:kern w:val="2"/>
                <w:lang w:val="ru-RU" w:eastAsia="ar-SA"/>
              </w:rPr>
              <w:t xml:space="preserve"> </w:t>
            </w:r>
            <w:r w:rsidR="00BB4172" w:rsidRPr="00B152F8">
              <w:rPr>
                <w:bCs/>
                <w:iCs/>
                <w:color w:val="auto"/>
                <w:lang w:val="sr-Cyrl-CS"/>
              </w:rPr>
              <w:t>динара без ПДВ-а,</w:t>
            </w:r>
          </w:p>
        </w:tc>
      </w:tr>
      <w:tr w:rsidR="00CA7FD3" w:rsidRPr="00B152F8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B152F8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2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Датум доношења одлуке о додели уговора: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B152F8" w:rsidRDefault="00B152F8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B152F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12.08</w:t>
            </w:r>
            <w:r w:rsidR="0078051E" w:rsidRPr="00B152F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.2019</w:t>
            </w:r>
            <w:r w:rsidR="00D12255" w:rsidRPr="00B152F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 г.</w:t>
            </w:r>
          </w:p>
        </w:tc>
      </w:tr>
      <w:tr w:rsidR="00CA7FD3" w:rsidRPr="00B152F8" w:rsidTr="00650B1A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B152F8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2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Датум закључења уговора: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B152F8" w:rsidRDefault="00B152F8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B152F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20</w:t>
            </w:r>
            <w:r w:rsidR="00BB4172" w:rsidRPr="00B152F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</w:t>
            </w:r>
            <w:r w:rsidRPr="00B152F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08</w:t>
            </w:r>
            <w:r w:rsidR="0078051E" w:rsidRPr="00B152F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.2019</w:t>
            </w:r>
            <w:r w:rsidR="00D12255" w:rsidRPr="00B152F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 г.</w:t>
            </w:r>
          </w:p>
        </w:tc>
      </w:tr>
      <w:tr w:rsidR="00CA7FD3" w:rsidRPr="00B152F8" w:rsidTr="00650B1A">
        <w:trPr>
          <w:trHeight w:val="77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B152F8" w:rsidRDefault="00E355C4" w:rsidP="00282829">
            <w:pPr>
              <w:ind w:right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2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Основни подаци о добављачу: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152F8" w:rsidRPr="00B152F8" w:rsidRDefault="00A11461" w:rsidP="00B152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152F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Група</w:t>
            </w:r>
            <w:r w:rsidRPr="00B152F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</w:t>
            </w:r>
            <w:r w:rsidRPr="00B152F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онуђача</w:t>
            </w:r>
            <w:r w:rsidRPr="00B152F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: </w:t>
            </w:r>
            <w:r w:rsidR="00B152F8" w:rsidRPr="00B152F8">
              <w:rPr>
                <w:rFonts w:ascii="Times New Roman" w:eastAsia="Batang" w:hAnsi="Times New Roman" w:cs="Times New Roman"/>
                <w:sz w:val="24"/>
                <w:szCs w:val="24"/>
                <w:lang w:val="sr-Cyrl-CS"/>
              </w:rPr>
              <w:t>„</w:t>
            </w:r>
            <w:r w:rsidR="00B152F8" w:rsidRPr="00B152F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ЦЕНТРАЛНА ПУТНА ЛАБОРАТОРИЈА„ д.о.о., Живорада Петровића број 13, 21203 Ветерник, Нови Сад,</w:t>
            </w:r>
            <w:r w:rsidR="00B152F8" w:rsidRPr="00B152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52F8" w:rsidRPr="00B152F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</w:t>
            </w:r>
            <w:r w:rsidR="00B152F8" w:rsidRPr="00B152F8">
              <w:rPr>
                <w:rFonts w:ascii="Times New Roman" w:hAnsi="Times New Roman" w:cs="Times New Roman"/>
                <w:sz w:val="24"/>
                <w:szCs w:val="24"/>
              </w:rPr>
              <w:t>NIEVELT INGENIEUR</w:t>
            </w:r>
            <w:r w:rsidR="00B152F8" w:rsidRPr="00B152F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“</w:t>
            </w:r>
            <w:r w:rsidR="00B152F8" w:rsidRPr="00B152F8">
              <w:rPr>
                <w:rFonts w:ascii="Times New Roman" w:hAnsi="Times New Roman" w:cs="Times New Roman"/>
                <w:sz w:val="24"/>
                <w:szCs w:val="24"/>
              </w:rPr>
              <w:t xml:space="preserve"> GMBH, AUSTRIA, Betriebsstrasse 1, 2011 Hobersdorf, </w:t>
            </w:r>
            <w:r w:rsidR="00B152F8" w:rsidRPr="00B152F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„МАКСПРО“ д.о.о., Стевана Марковића број 8, 11030 Земун,</w:t>
            </w:r>
            <w:r w:rsidR="00B152F8" w:rsidRPr="00B152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52F8" w:rsidRPr="00B152F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„АДОМНЕ“  д.о.о., Шумадијска број 1, 21000 Нови Сад,</w:t>
            </w:r>
            <w:r w:rsidR="00B152F8" w:rsidRPr="00B152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52F8" w:rsidRPr="00B152F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„АБА ПРОФЕСИОНАЛ“ д.о.о., Михајла Булгакова број 50б, 11000 Београд.</w:t>
            </w:r>
          </w:p>
          <w:p w:rsidR="00CA7FD3" w:rsidRPr="00B152F8" w:rsidRDefault="00CA7FD3" w:rsidP="00074EA2">
            <w:pPr>
              <w:snapToGrid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</w:p>
        </w:tc>
      </w:tr>
      <w:tr w:rsidR="00CA7FD3" w:rsidRPr="00B152F8" w:rsidTr="00074EA2">
        <w:trPr>
          <w:trHeight w:val="673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B152F8" w:rsidRDefault="00E35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2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Период важења уговора: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B152F8" w:rsidRDefault="00B152F8" w:rsidP="00D45E5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B152F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60 месеци</w:t>
            </w:r>
          </w:p>
        </w:tc>
      </w:tr>
      <w:tr w:rsidR="00D12255" w:rsidRPr="00B152F8" w:rsidTr="00650B1A">
        <w:trPr>
          <w:trHeight w:val="12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12255" w:rsidRPr="00B152F8" w:rsidRDefault="00D122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15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Околности које представљају основ за измену уговора: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12255" w:rsidRPr="00B152F8" w:rsidRDefault="00D12255" w:rsidP="00D45E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CA7FD3" w:rsidRPr="00650B1A" w:rsidRDefault="00CA7FD3" w:rsidP="00387D05">
      <w:pPr>
        <w:spacing w:after="0"/>
        <w:rPr>
          <w:rFonts w:ascii="Times New Roman" w:hAnsi="Times New Roman" w:cs="Times New Roman"/>
        </w:rPr>
      </w:pPr>
    </w:p>
    <w:sectPr w:rsidR="00CA7FD3" w:rsidRPr="00650B1A">
      <w:pgSz w:w="11906" w:h="16838"/>
      <w:pgMar w:top="1440" w:right="1440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896" w:rsidRDefault="00DC7896" w:rsidP="00B20919">
      <w:pPr>
        <w:spacing w:after="0" w:line="240" w:lineRule="auto"/>
      </w:pPr>
      <w:r>
        <w:separator/>
      </w:r>
    </w:p>
  </w:endnote>
  <w:endnote w:type="continuationSeparator" w:id="0">
    <w:p w:rsidR="00DC7896" w:rsidRDefault="00DC7896" w:rsidP="00B20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charset w:val="EE"/>
    <w:family w:val="auto"/>
    <w:pitch w:val="variable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896" w:rsidRDefault="00DC7896" w:rsidP="00B20919">
      <w:pPr>
        <w:spacing w:after="0" w:line="240" w:lineRule="auto"/>
      </w:pPr>
      <w:r>
        <w:separator/>
      </w:r>
    </w:p>
  </w:footnote>
  <w:footnote w:type="continuationSeparator" w:id="0">
    <w:p w:rsidR="00DC7896" w:rsidRDefault="00DC7896" w:rsidP="00B20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360A3"/>
    <w:multiLevelType w:val="hybridMultilevel"/>
    <w:tmpl w:val="9E5CC65A"/>
    <w:lvl w:ilvl="0" w:tplc="09C87E82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D3"/>
    <w:rsid w:val="00031435"/>
    <w:rsid w:val="000618CD"/>
    <w:rsid w:val="00074EA2"/>
    <w:rsid w:val="00115F98"/>
    <w:rsid w:val="001E242F"/>
    <w:rsid w:val="001F7606"/>
    <w:rsid w:val="0026533D"/>
    <w:rsid w:val="00282829"/>
    <w:rsid w:val="002B08DE"/>
    <w:rsid w:val="00387D05"/>
    <w:rsid w:val="003E2916"/>
    <w:rsid w:val="003E5EFF"/>
    <w:rsid w:val="00472160"/>
    <w:rsid w:val="004C68B7"/>
    <w:rsid w:val="00530B57"/>
    <w:rsid w:val="005566E8"/>
    <w:rsid w:val="00575804"/>
    <w:rsid w:val="005A7C66"/>
    <w:rsid w:val="005C1378"/>
    <w:rsid w:val="00615D2A"/>
    <w:rsid w:val="00627B5D"/>
    <w:rsid w:val="00650B1A"/>
    <w:rsid w:val="006607BF"/>
    <w:rsid w:val="00674ED8"/>
    <w:rsid w:val="006D1C09"/>
    <w:rsid w:val="006D4818"/>
    <w:rsid w:val="00706F1F"/>
    <w:rsid w:val="00743796"/>
    <w:rsid w:val="0077584A"/>
    <w:rsid w:val="0078051E"/>
    <w:rsid w:val="007B0100"/>
    <w:rsid w:val="008513A7"/>
    <w:rsid w:val="00910A92"/>
    <w:rsid w:val="009D039B"/>
    <w:rsid w:val="009E3A7C"/>
    <w:rsid w:val="00A11461"/>
    <w:rsid w:val="00A86317"/>
    <w:rsid w:val="00A914A0"/>
    <w:rsid w:val="00AE6257"/>
    <w:rsid w:val="00B152F8"/>
    <w:rsid w:val="00B16C6E"/>
    <w:rsid w:val="00B20919"/>
    <w:rsid w:val="00B33C4E"/>
    <w:rsid w:val="00B35E0B"/>
    <w:rsid w:val="00BB01C8"/>
    <w:rsid w:val="00BB4172"/>
    <w:rsid w:val="00C15504"/>
    <w:rsid w:val="00C205D2"/>
    <w:rsid w:val="00C863FD"/>
    <w:rsid w:val="00CA0318"/>
    <w:rsid w:val="00CA7FD3"/>
    <w:rsid w:val="00CB310D"/>
    <w:rsid w:val="00CD06E7"/>
    <w:rsid w:val="00CE1DB9"/>
    <w:rsid w:val="00D12255"/>
    <w:rsid w:val="00D4043A"/>
    <w:rsid w:val="00D43BC6"/>
    <w:rsid w:val="00D45E54"/>
    <w:rsid w:val="00DC0365"/>
    <w:rsid w:val="00DC7896"/>
    <w:rsid w:val="00DE67A9"/>
    <w:rsid w:val="00E11A04"/>
    <w:rsid w:val="00E134C7"/>
    <w:rsid w:val="00E355C4"/>
    <w:rsid w:val="00EC0E9D"/>
    <w:rsid w:val="00F938FF"/>
    <w:rsid w:val="00F9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D4D24"/>
  <w15:docId w15:val="{40114482-1F12-44F4-BD55-D63C475A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1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4A0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91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919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D45E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  <w:style w:type="paragraph" w:styleId="BodyText">
    <w:name w:val="Body Text"/>
    <w:basedOn w:val="Normal"/>
    <w:link w:val="BodyTextChar"/>
    <w:rsid w:val="00E134C7"/>
    <w:pPr>
      <w:suppressAutoHyphens/>
      <w:spacing w:after="120" w:line="100" w:lineRule="atLeast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E134C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Velinov</dc:creator>
  <cp:keywords/>
  <cp:lastModifiedBy>Milica Milosavljević</cp:lastModifiedBy>
  <cp:revision>11</cp:revision>
  <cp:lastPrinted>2018-03-29T07:14:00Z</cp:lastPrinted>
  <dcterms:created xsi:type="dcterms:W3CDTF">2017-12-08T09:38:00Z</dcterms:created>
  <dcterms:modified xsi:type="dcterms:W3CDTF">2019-08-20T12:46:00Z</dcterms:modified>
</cp:coreProperties>
</file>