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Pr="00706B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702468" w:rsidRPr="00706B2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80184B" w:rsidRPr="00706B2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113/</w:t>
            </w:r>
            <w:r w:rsidR="00706B2A" w:rsidRPr="00706B2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9</w:t>
            </w:r>
            <w:r w:rsidR="00702468" w:rsidRPr="00706B2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706B2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702468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F75"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15</w:t>
            </w:r>
            <w:r w:rsidR="00856F75"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>.07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.2019. </w:t>
            </w:r>
            <w:r w:rsidRPr="00856F7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702468" w:rsidRPr="00CC35E3" w:rsidRDefault="00AF2F2F" w:rsidP="0070246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702468">
        <w:rPr>
          <w:rFonts w:ascii="Times New Roman" w:hAnsi="Times New Roman"/>
          <w:sz w:val="24"/>
          <w:szCs w:val="24"/>
          <w:lang w:val="sr-Cyrl-CS"/>
        </w:rPr>
        <w:t>У</w:t>
      </w:r>
      <w:r w:rsidR="00702468" w:rsidRPr="008A3025">
        <w:rPr>
          <w:rFonts w:ascii="Times New Roman" w:hAnsi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702468" w:rsidRPr="00CC35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02468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</w:t>
      </w:r>
      <w:r w:rsidR="00702468" w:rsidRPr="00CC35E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0</w:t>
      </w:r>
      <w:r w:rsidR="00702468" w:rsidRPr="00CC35E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AF2F2F" w:rsidRPr="00AF2F2F" w:rsidRDefault="00AF2F2F" w:rsidP="00702468">
      <w:pPr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D25AA" w:rsidRDefault="009D25AA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9D25AA" w:rsidRPr="009D25AA" w:rsidRDefault="009D25AA" w:rsidP="00700674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D25AA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1</w:t>
      </w:r>
    </w:p>
    <w:p w:rsidR="00AF2F2F" w:rsidRPr="009D25AA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5AA" w:rsidRPr="009D25AA" w:rsidRDefault="009D25AA" w:rsidP="009D25AA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тендерској документацији, доказ 3 - Додатни услов из чл. 76. ст. 2. Закона –финансијски капацитет је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: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</w:p>
    <w:p w:rsidR="009D25AA" w:rsidRPr="009D25AA" w:rsidRDefault="009D25AA" w:rsidP="009D25AA">
      <w:pPr>
        <w:widowControl w:val="0"/>
        <w:numPr>
          <w:ilvl w:val="0"/>
          <w:numId w:val="3"/>
        </w:numPr>
        <w:ind w:left="1701" w:hanging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Потврда надлежног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sr-Cyrl-RS"/>
        </w:rPr>
        <w:t>Привредног суда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доказ да над понуђачем није покренут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>поступак стечаја или ликвидације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односно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>претходни стечајни поступак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9D25AA" w:rsidRPr="009D25AA" w:rsidRDefault="009D25AA" w:rsidP="009D25AA">
      <w:pPr>
        <w:widowControl w:val="0"/>
        <w:ind w:left="7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Обзиром да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sr-Cyrl-RS"/>
        </w:rPr>
        <w:t>Привредни суд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Београду 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>НЕ ИЗДАЈЕ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потврду која се односи на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sr-Cyrl-RS"/>
        </w:rPr>
        <w:t>претходни стечајни поступак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већ само на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 xml:space="preserve"> поступак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val="sr-Cyrl-RS"/>
        </w:rPr>
        <w:t>стечаја и ликвидације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молимо Вас да нам разјасните наведено.</w:t>
      </w: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1</w:t>
      </w:r>
    </w:p>
    <w:p w:rsidR="00FD6E76" w:rsidRDefault="00FD6E76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80184B" w:rsidRPr="0080184B" w:rsidRDefault="009979D5" w:rsidP="0080184B">
      <w:pPr>
        <w:pStyle w:val="Heading2"/>
        <w:spacing w:before="0"/>
        <w:jc w:val="both"/>
        <w:rPr>
          <w:rFonts w:ascii="Arial" w:eastAsia="Times New Roman" w:hAnsi="Arial" w:cs="Arial"/>
          <w:iCs/>
          <w:color w:val="auto"/>
          <w:sz w:val="21"/>
          <w:szCs w:val="21"/>
        </w:rPr>
      </w:pP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Сходно члану 25. Закона</w:t>
      </w:r>
      <w:r w:rsidR="002E527B"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 xml:space="preserve"> о уређењу судова </w:t>
      </w:r>
      <w:r w:rsidR="0080184B"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(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"Сл.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гласник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РС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", 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бр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. 116/2008, 104/2009, 101/2010, 31/2011 -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др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.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закон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78/2011 –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др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 xml:space="preserve"> закон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101/2011, 101/2013, 106/2015, 40/2015 -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др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.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закон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, 13/2016, 108/2016, 113/2017, 65/2018 –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одлука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УС</w:t>
      </w:r>
      <w:r w:rsidR="00706B2A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, 87/2018 и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88/2018 – </w:t>
      </w:r>
      <w:proofErr w:type="spellStart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одлука</w:t>
      </w:r>
      <w:proofErr w:type="spellEnd"/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УС</w:t>
      </w:r>
      <w:r w:rsidR="0080184B"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)</w:t>
      </w:r>
    </w:p>
    <w:p w:rsidR="002E527B" w:rsidRPr="0080184B" w:rsidRDefault="0080184B" w:rsidP="0080184B">
      <w:pPr>
        <w:pStyle w:val="Heading2"/>
        <w:spacing w:before="0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 xml:space="preserve"> </w:t>
      </w:r>
      <w:r w:rsidR="002E527B"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 xml:space="preserve">и </w:t>
      </w:r>
      <w:r w:rsidR="00660CEE"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 xml:space="preserve">члану 60. </w:t>
      </w:r>
      <w:r w:rsidR="009979D5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Закона</w:t>
      </w:r>
      <w:bookmarkStart w:id="0" w:name="_GoBack"/>
      <w:bookmarkEnd w:id="0"/>
      <w:r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 xml:space="preserve"> о стечају 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("</w:t>
      </w:r>
      <w:proofErr w:type="spellStart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Сл</w:t>
      </w:r>
      <w:proofErr w:type="spellEnd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. </w:t>
      </w:r>
      <w:proofErr w:type="spellStart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гласник</w:t>
      </w:r>
      <w:proofErr w:type="spellEnd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РС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", </w:t>
      </w:r>
      <w:proofErr w:type="spellStart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бр</w:t>
      </w:r>
      <w:proofErr w:type="spellEnd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. 104/2009, 99/2011 – </w:t>
      </w:r>
      <w:proofErr w:type="spellStart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др</w:t>
      </w:r>
      <w:proofErr w:type="spellEnd"/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.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 xml:space="preserve"> закон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, 71/2012 –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  <w:lang w:val="sr-Cyrl-CS"/>
        </w:rPr>
        <w:t>одлука УС</w:t>
      </w:r>
      <w:r w:rsidRPr="0080184B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, 83/2014, 113/2017, 44/2018 и 95/2018)</w:t>
      </w:r>
      <w:r w:rsidR="002E527B" w:rsidRPr="0080184B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, надлежни суд у конкретном случају Привредни суд,  води претходни стечајни поступак и стечај</w:t>
      </w:r>
      <w:r w:rsidR="005254F5">
        <w:rPr>
          <w:rFonts w:ascii="Times New Roman" w:eastAsia="Calibri" w:hAnsi="Times New Roman" w:cs="Times New Roman"/>
          <w:noProof/>
          <w:color w:val="auto"/>
          <w:sz w:val="24"/>
          <w:szCs w:val="24"/>
          <w:lang w:val="sr-Cyrl-CS"/>
        </w:rPr>
        <w:t>ни поступак што  значи  да  издаје потврде о  истом.</w:t>
      </w:r>
    </w:p>
    <w:p w:rsidR="002E527B" w:rsidRPr="002E527B" w:rsidRDefault="002E527B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ПИТАЊЕ 2</w:t>
      </w: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Такође, Привредни суд издаје потврду да поступак ликвидације, односно поступак принудног поравњања није покренут над привредним друштвом до </w:t>
      </w:r>
      <w:r w:rsidRPr="009D25A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  <w:t>01.02.2005.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године, до </w:t>
      </w:r>
      <w:r w:rsidRPr="009D25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када је покретање и вођење ових поступака било у надлежности тог суда.</w:t>
      </w:r>
    </w:p>
    <w:p w:rsidR="009D25AA" w:rsidRPr="009D25AA" w:rsidRDefault="009D25AA" w:rsidP="009D25AA">
      <w:pPr>
        <w:widowControl w:val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D25AA" w:rsidRDefault="009D25AA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D25AA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ОДГОВОР 2</w:t>
      </w:r>
    </w:p>
    <w:p w:rsidR="00856F75" w:rsidRPr="0080184B" w:rsidRDefault="00856F75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80184B" w:rsidRPr="0080184B" w:rsidRDefault="0080184B" w:rsidP="00856F75">
      <w:pPr>
        <w:keepNext/>
        <w:widowControl w:val="0"/>
        <w:spacing w:after="12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0184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Одговор садржан у првом питању.</w:t>
      </w:r>
    </w:p>
    <w:p w:rsidR="009D25AA" w:rsidRPr="009D25AA" w:rsidRDefault="009D25AA" w:rsidP="009D25AA">
      <w:pPr>
        <w:pStyle w:val="NormalWeb"/>
        <w:rPr>
          <w:b/>
          <w:lang w:val="sr-Cyrl-CS"/>
        </w:rPr>
      </w:pPr>
      <w:r w:rsidRPr="009D25AA">
        <w:rPr>
          <w:b/>
          <w:lang w:val="sr-Cyrl-CS"/>
        </w:rPr>
        <w:t>ПИТАЊЕ 3</w:t>
      </w:r>
    </w:p>
    <w:p w:rsidR="009D25AA" w:rsidRPr="009D25AA" w:rsidRDefault="009D25AA" w:rsidP="009D25AA">
      <w:pPr>
        <w:pStyle w:val="NormalWeb"/>
        <w:jc w:val="both"/>
      </w:pPr>
      <w:proofErr w:type="spellStart"/>
      <w:r w:rsidRPr="009D25AA">
        <w:t>На</w:t>
      </w:r>
      <w:proofErr w:type="spellEnd"/>
      <w:r w:rsidRPr="009D25AA">
        <w:t xml:space="preserve"> </w:t>
      </w:r>
      <w:proofErr w:type="spellStart"/>
      <w:r w:rsidRPr="009D25AA">
        <w:t>страни</w:t>
      </w:r>
      <w:proofErr w:type="spellEnd"/>
      <w:r w:rsidRPr="009D25AA">
        <w:t xml:space="preserve"> </w:t>
      </w:r>
      <w:proofErr w:type="spellStart"/>
      <w:r w:rsidRPr="009D25AA">
        <w:t>број</w:t>
      </w:r>
      <w:proofErr w:type="spellEnd"/>
      <w:r w:rsidRPr="009D25AA">
        <w:t xml:space="preserve"> 55 </w:t>
      </w:r>
      <w:proofErr w:type="spellStart"/>
      <w:r w:rsidRPr="009D25AA">
        <w:t>конкурсне</w:t>
      </w:r>
      <w:proofErr w:type="spellEnd"/>
      <w:r w:rsidRPr="009D25AA">
        <w:t xml:space="preserve"> </w:t>
      </w:r>
      <w:proofErr w:type="spellStart"/>
      <w:r w:rsidRPr="009D25AA">
        <w:t>документације</w:t>
      </w:r>
      <w:proofErr w:type="spellEnd"/>
      <w:r w:rsidRPr="009D25AA">
        <w:t xml:space="preserve"> </w:t>
      </w:r>
      <w:proofErr w:type="spellStart"/>
      <w:r w:rsidRPr="009D25AA">
        <w:t>за</w:t>
      </w:r>
      <w:proofErr w:type="spellEnd"/>
      <w:r w:rsidRPr="009D25AA">
        <w:t xml:space="preserve"> ЈН бр.30/2019, </w:t>
      </w:r>
      <w:proofErr w:type="spellStart"/>
      <w:r w:rsidRPr="009D25AA">
        <w:t>пише</w:t>
      </w:r>
      <w:proofErr w:type="spellEnd"/>
      <w:r w:rsidRPr="009D25AA">
        <w:t xml:space="preserve"> </w:t>
      </w:r>
      <w:proofErr w:type="spellStart"/>
      <w:r w:rsidRPr="009D25AA">
        <w:t>да</w:t>
      </w:r>
      <w:proofErr w:type="spellEnd"/>
      <w:r w:rsidRPr="009D25AA">
        <w:t xml:space="preserve"> </w:t>
      </w:r>
      <w:proofErr w:type="spellStart"/>
      <w:r w:rsidRPr="009D25AA">
        <w:t>је</w:t>
      </w:r>
      <w:proofErr w:type="spellEnd"/>
      <w:r w:rsidRPr="009D25AA">
        <w:t xml:space="preserve"> </w:t>
      </w:r>
      <w:proofErr w:type="spellStart"/>
      <w:r w:rsidRPr="009D25AA">
        <w:t>потребно</w:t>
      </w:r>
      <w:proofErr w:type="spellEnd"/>
      <w:r w:rsidRPr="009D25AA">
        <w:t xml:space="preserve"> </w:t>
      </w:r>
      <w:proofErr w:type="spellStart"/>
      <w:r w:rsidRPr="009D25AA">
        <w:t>да</w:t>
      </w:r>
      <w:proofErr w:type="spellEnd"/>
      <w:r w:rsidRPr="009D25AA">
        <w:t xml:space="preserve"> </w:t>
      </w:r>
      <w:proofErr w:type="spellStart"/>
      <w:r w:rsidRPr="009D25AA">
        <w:t>сви</w:t>
      </w:r>
      <w:proofErr w:type="spellEnd"/>
      <w:r w:rsidRPr="009D25AA">
        <w:t xml:space="preserve"> </w:t>
      </w:r>
      <w:proofErr w:type="spellStart"/>
      <w:r w:rsidRPr="009D25AA">
        <w:t>понуђачи</w:t>
      </w:r>
      <w:proofErr w:type="spellEnd"/>
      <w:r w:rsidRPr="009D25AA">
        <w:t xml:space="preserve"> </w:t>
      </w:r>
      <w:proofErr w:type="spellStart"/>
      <w:r w:rsidRPr="009D25AA">
        <w:t>из</w:t>
      </w:r>
      <w:proofErr w:type="spellEnd"/>
      <w:r w:rsidRPr="009D25AA">
        <w:t xml:space="preserve"> </w:t>
      </w:r>
      <w:proofErr w:type="spellStart"/>
      <w:r w:rsidRPr="009D25AA">
        <w:t>групе</w:t>
      </w:r>
      <w:proofErr w:type="spellEnd"/>
      <w:r w:rsidRPr="009D25AA">
        <w:t xml:space="preserve"> </w:t>
      </w:r>
      <w:proofErr w:type="spellStart"/>
      <w:r w:rsidRPr="009D25AA">
        <w:t>понуђача</w:t>
      </w:r>
      <w:proofErr w:type="spellEnd"/>
      <w:r w:rsidRPr="009D25AA">
        <w:t xml:space="preserve"> </w:t>
      </w:r>
      <w:proofErr w:type="spellStart"/>
      <w:r w:rsidRPr="009D25AA">
        <w:t>доставе</w:t>
      </w:r>
      <w:proofErr w:type="spellEnd"/>
      <w:r w:rsidRPr="009D25AA">
        <w:t xml:space="preserve"> </w:t>
      </w:r>
      <w:proofErr w:type="spellStart"/>
      <w:r w:rsidRPr="009D25AA">
        <w:t>Потврду</w:t>
      </w:r>
      <w:proofErr w:type="spellEnd"/>
      <w:r w:rsidRPr="009D25AA">
        <w:t xml:space="preserve"> </w:t>
      </w:r>
      <w:proofErr w:type="spellStart"/>
      <w:r w:rsidRPr="009D25AA">
        <w:t>надлежног</w:t>
      </w:r>
      <w:proofErr w:type="spellEnd"/>
      <w:r w:rsidRPr="009D25AA">
        <w:t xml:space="preserve"> </w:t>
      </w:r>
      <w:proofErr w:type="spellStart"/>
      <w:r w:rsidRPr="009D25AA">
        <w:t>Привредног</w:t>
      </w:r>
      <w:proofErr w:type="spellEnd"/>
      <w:r w:rsidRPr="009D25AA">
        <w:t xml:space="preserve"> </w:t>
      </w:r>
      <w:proofErr w:type="spellStart"/>
      <w:r w:rsidRPr="009D25AA">
        <w:t>суда</w:t>
      </w:r>
      <w:proofErr w:type="spellEnd"/>
      <w:r w:rsidRPr="009D25AA">
        <w:t xml:space="preserve"> </w:t>
      </w:r>
      <w:proofErr w:type="spellStart"/>
      <w:r w:rsidRPr="009D25AA">
        <w:t>као</w:t>
      </w:r>
      <w:proofErr w:type="spellEnd"/>
      <w:r w:rsidRPr="009D25AA">
        <w:t xml:space="preserve"> </w:t>
      </w:r>
      <w:proofErr w:type="spellStart"/>
      <w:r w:rsidRPr="009D25AA">
        <w:t>доказ</w:t>
      </w:r>
      <w:proofErr w:type="spellEnd"/>
      <w:r w:rsidRPr="009D25AA">
        <w:t xml:space="preserve"> </w:t>
      </w:r>
      <w:proofErr w:type="spellStart"/>
      <w:r w:rsidRPr="009D25AA">
        <w:t>да</w:t>
      </w:r>
      <w:proofErr w:type="spellEnd"/>
      <w:r w:rsidRPr="009D25AA">
        <w:t xml:space="preserve"> </w:t>
      </w:r>
      <w:proofErr w:type="spellStart"/>
      <w:r w:rsidRPr="009D25AA">
        <w:t>над</w:t>
      </w:r>
      <w:proofErr w:type="spellEnd"/>
      <w:r w:rsidRPr="009D25AA">
        <w:t xml:space="preserve"> </w:t>
      </w:r>
      <w:proofErr w:type="spellStart"/>
      <w:r w:rsidRPr="009D25AA">
        <w:t>понуђачем</w:t>
      </w:r>
      <w:proofErr w:type="spellEnd"/>
      <w:r w:rsidRPr="009D25AA">
        <w:t xml:space="preserve"> </w:t>
      </w:r>
      <w:proofErr w:type="spellStart"/>
      <w:r w:rsidRPr="009D25AA">
        <w:t>није</w:t>
      </w:r>
      <w:proofErr w:type="spellEnd"/>
      <w:r w:rsidRPr="009D25AA">
        <w:t xml:space="preserve"> </w:t>
      </w:r>
      <w:proofErr w:type="spellStart"/>
      <w:r w:rsidRPr="009D25AA">
        <w:t>покренут</w:t>
      </w:r>
      <w:proofErr w:type="spellEnd"/>
      <w:r w:rsidRPr="009D25AA">
        <w:t xml:space="preserve"> </w:t>
      </w:r>
      <w:proofErr w:type="spellStart"/>
      <w:r w:rsidRPr="009D25AA">
        <w:t>поступак</w:t>
      </w:r>
      <w:proofErr w:type="spellEnd"/>
      <w:r w:rsidRPr="009D25AA">
        <w:t xml:space="preserve"> </w:t>
      </w:r>
      <w:proofErr w:type="spellStart"/>
      <w:r w:rsidRPr="009D25AA">
        <w:t>стечаја</w:t>
      </w:r>
      <w:proofErr w:type="spellEnd"/>
      <w:r w:rsidRPr="009D25AA">
        <w:t xml:space="preserve"> </w:t>
      </w:r>
      <w:proofErr w:type="spellStart"/>
      <w:r w:rsidRPr="009D25AA">
        <w:t>или</w:t>
      </w:r>
      <w:proofErr w:type="spellEnd"/>
      <w:r w:rsidRPr="009D25AA">
        <w:t xml:space="preserve"> </w:t>
      </w:r>
      <w:proofErr w:type="spellStart"/>
      <w:r w:rsidRPr="009D25AA">
        <w:t>ликвидације</w:t>
      </w:r>
      <w:proofErr w:type="spellEnd"/>
      <w:r w:rsidRPr="009D25AA">
        <w:t xml:space="preserve">. </w:t>
      </w:r>
      <w:proofErr w:type="spellStart"/>
      <w:r w:rsidRPr="009D25AA">
        <w:t>Пошто</w:t>
      </w:r>
      <w:proofErr w:type="spellEnd"/>
      <w:r w:rsidRPr="009D25AA">
        <w:t xml:space="preserve"> </w:t>
      </w:r>
      <w:proofErr w:type="spellStart"/>
      <w:r w:rsidRPr="009D25AA">
        <w:t>за</w:t>
      </w:r>
      <w:proofErr w:type="spellEnd"/>
      <w:r w:rsidRPr="009D25AA">
        <w:t xml:space="preserve"> </w:t>
      </w:r>
      <w:proofErr w:type="spellStart"/>
      <w:r w:rsidRPr="009D25AA">
        <w:t>предузетнике</w:t>
      </w:r>
      <w:proofErr w:type="spellEnd"/>
      <w:r w:rsidRPr="009D25AA">
        <w:t xml:space="preserve"> </w:t>
      </w:r>
      <w:proofErr w:type="spellStart"/>
      <w:r w:rsidRPr="009D25AA">
        <w:t>ову</w:t>
      </w:r>
      <w:proofErr w:type="spellEnd"/>
      <w:r w:rsidRPr="009D25AA">
        <w:t xml:space="preserve"> </w:t>
      </w:r>
      <w:proofErr w:type="spellStart"/>
      <w:r w:rsidRPr="009D25AA">
        <w:t>потврду</w:t>
      </w:r>
      <w:proofErr w:type="spellEnd"/>
      <w:r w:rsidRPr="009D25AA">
        <w:t xml:space="preserve"> </w:t>
      </w:r>
      <w:proofErr w:type="spellStart"/>
      <w:r w:rsidRPr="009D25AA">
        <w:t>не</w:t>
      </w:r>
      <w:proofErr w:type="spellEnd"/>
      <w:r w:rsidRPr="009D25AA">
        <w:t xml:space="preserve"> </w:t>
      </w:r>
      <w:proofErr w:type="spellStart"/>
      <w:r w:rsidRPr="009D25AA">
        <w:t>издаје</w:t>
      </w:r>
      <w:proofErr w:type="spellEnd"/>
      <w:r w:rsidRPr="009D25AA">
        <w:t xml:space="preserve"> </w:t>
      </w:r>
      <w:proofErr w:type="spellStart"/>
      <w:r w:rsidRPr="009D25AA">
        <w:t>Привредни</w:t>
      </w:r>
      <w:proofErr w:type="spellEnd"/>
      <w:r w:rsidRPr="009D25AA">
        <w:t xml:space="preserve"> </w:t>
      </w:r>
      <w:proofErr w:type="spellStart"/>
      <w:r w:rsidRPr="009D25AA">
        <w:t>суд</w:t>
      </w:r>
      <w:proofErr w:type="spellEnd"/>
      <w:r w:rsidRPr="009D25AA">
        <w:t xml:space="preserve">, </w:t>
      </w:r>
      <w:proofErr w:type="spellStart"/>
      <w:r w:rsidRPr="009D25AA">
        <w:t>да</w:t>
      </w:r>
      <w:proofErr w:type="spellEnd"/>
      <w:r w:rsidRPr="009D25AA">
        <w:t xml:space="preserve"> </w:t>
      </w:r>
      <w:proofErr w:type="spellStart"/>
      <w:r w:rsidRPr="009D25AA">
        <w:t>ли</w:t>
      </w:r>
      <w:proofErr w:type="spellEnd"/>
      <w:r w:rsidRPr="009D25AA">
        <w:t xml:space="preserve"> </w:t>
      </w:r>
      <w:proofErr w:type="spellStart"/>
      <w:r w:rsidRPr="009D25AA">
        <w:t>довољан</w:t>
      </w:r>
      <w:proofErr w:type="spellEnd"/>
      <w:r w:rsidRPr="009D25AA">
        <w:t xml:space="preserve"> </w:t>
      </w:r>
      <w:proofErr w:type="spellStart"/>
      <w:r w:rsidRPr="009D25AA">
        <w:t>доказ</w:t>
      </w:r>
      <w:proofErr w:type="spellEnd"/>
      <w:r w:rsidRPr="009D25AA">
        <w:t xml:space="preserve"> </w:t>
      </w:r>
      <w:proofErr w:type="spellStart"/>
      <w:r w:rsidRPr="009D25AA">
        <w:t>Потврда</w:t>
      </w:r>
      <w:proofErr w:type="spellEnd"/>
      <w:r w:rsidRPr="009D25AA">
        <w:t xml:space="preserve"> </w:t>
      </w:r>
      <w:proofErr w:type="spellStart"/>
      <w:r w:rsidRPr="009D25AA">
        <w:t>из</w:t>
      </w:r>
      <w:proofErr w:type="spellEnd"/>
      <w:r w:rsidRPr="009D25AA">
        <w:t xml:space="preserve"> АПР-а </w:t>
      </w:r>
      <w:proofErr w:type="spellStart"/>
      <w:r w:rsidRPr="009D25AA">
        <w:t>да</w:t>
      </w:r>
      <w:proofErr w:type="spellEnd"/>
      <w:r w:rsidRPr="009D25AA">
        <w:t xml:space="preserve"> </w:t>
      </w:r>
      <w:proofErr w:type="spellStart"/>
      <w:r w:rsidRPr="009D25AA">
        <w:t>над</w:t>
      </w:r>
      <w:proofErr w:type="spellEnd"/>
      <w:r w:rsidRPr="009D25AA">
        <w:t xml:space="preserve"> </w:t>
      </w:r>
      <w:proofErr w:type="spellStart"/>
      <w:r w:rsidRPr="009D25AA">
        <w:t>понуђачем</w:t>
      </w:r>
      <w:proofErr w:type="spellEnd"/>
      <w:r w:rsidRPr="009D25AA">
        <w:t xml:space="preserve"> (</w:t>
      </w:r>
      <w:proofErr w:type="spellStart"/>
      <w:r w:rsidRPr="009D25AA">
        <w:t>предузетником</w:t>
      </w:r>
      <w:proofErr w:type="spellEnd"/>
      <w:r w:rsidRPr="009D25AA">
        <w:t xml:space="preserve">) </w:t>
      </w:r>
      <w:proofErr w:type="spellStart"/>
      <w:r w:rsidRPr="009D25AA">
        <w:t>није</w:t>
      </w:r>
      <w:proofErr w:type="spellEnd"/>
      <w:r w:rsidRPr="009D25AA">
        <w:t xml:space="preserve"> </w:t>
      </w:r>
      <w:proofErr w:type="spellStart"/>
      <w:r w:rsidRPr="009D25AA">
        <w:t>покренут</w:t>
      </w:r>
      <w:proofErr w:type="spellEnd"/>
      <w:r w:rsidRPr="009D25AA">
        <w:t xml:space="preserve"> </w:t>
      </w:r>
      <w:proofErr w:type="spellStart"/>
      <w:r w:rsidRPr="009D25AA">
        <w:t>поступак</w:t>
      </w:r>
      <w:proofErr w:type="spellEnd"/>
      <w:r w:rsidRPr="009D25AA">
        <w:t xml:space="preserve"> </w:t>
      </w:r>
      <w:proofErr w:type="spellStart"/>
      <w:r w:rsidRPr="009D25AA">
        <w:t>стечаја</w:t>
      </w:r>
      <w:proofErr w:type="spellEnd"/>
      <w:r w:rsidRPr="009D25AA">
        <w:t xml:space="preserve"> </w:t>
      </w:r>
      <w:proofErr w:type="spellStart"/>
      <w:r w:rsidRPr="009D25AA">
        <w:t>или</w:t>
      </w:r>
      <w:proofErr w:type="spellEnd"/>
      <w:r w:rsidRPr="009D25AA">
        <w:t xml:space="preserve"> </w:t>
      </w:r>
      <w:proofErr w:type="spellStart"/>
      <w:r w:rsidRPr="009D25AA">
        <w:t>ликвидације</w:t>
      </w:r>
      <w:proofErr w:type="spellEnd"/>
      <w:r w:rsidRPr="009D25AA">
        <w:t>?</w:t>
      </w:r>
    </w:p>
    <w:p w:rsidR="009D25AA" w:rsidRPr="009D25AA" w:rsidRDefault="009D25AA" w:rsidP="009D25AA">
      <w:pPr>
        <w:pStyle w:val="NormalWeb"/>
        <w:rPr>
          <w:b/>
          <w:lang w:val="sr-Cyrl-CS"/>
        </w:rPr>
      </w:pPr>
      <w:r w:rsidRPr="009D25AA">
        <w:rPr>
          <w:b/>
          <w:lang w:val="sr-Cyrl-CS"/>
        </w:rPr>
        <w:t>ОДГОВОР 3</w:t>
      </w:r>
    </w:p>
    <w:p w:rsidR="00702468" w:rsidRPr="0080184B" w:rsidRDefault="0080184B" w:rsidP="009D25A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Да. Довољан је доказ Потврда из АПР-а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предузетником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покренут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стечаја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0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4B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</w:p>
    <w:p w:rsidR="0080184B" w:rsidRPr="00A72A53" w:rsidRDefault="0080184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80184B" w:rsidRPr="00A72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111C05"/>
    <w:rsid w:val="00174D66"/>
    <w:rsid w:val="002E527B"/>
    <w:rsid w:val="00374F9E"/>
    <w:rsid w:val="003E703C"/>
    <w:rsid w:val="0040663B"/>
    <w:rsid w:val="00514149"/>
    <w:rsid w:val="005254F5"/>
    <w:rsid w:val="005F50DF"/>
    <w:rsid w:val="00660CEE"/>
    <w:rsid w:val="00662F8C"/>
    <w:rsid w:val="006A78BD"/>
    <w:rsid w:val="00700674"/>
    <w:rsid w:val="00702468"/>
    <w:rsid w:val="00706B2A"/>
    <w:rsid w:val="007308ED"/>
    <w:rsid w:val="00761F62"/>
    <w:rsid w:val="007929DA"/>
    <w:rsid w:val="0080184B"/>
    <w:rsid w:val="00806D6E"/>
    <w:rsid w:val="00856F75"/>
    <w:rsid w:val="00886A15"/>
    <w:rsid w:val="009979D5"/>
    <w:rsid w:val="009D25AA"/>
    <w:rsid w:val="00A3319E"/>
    <w:rsid w:val="00A72A53"/>
    <w:rsid w:val="00AF2F2F"/>
    <w:rsid w:val="00B87F36"/>
    <w:rsid w:val="00BC19E6"/>
    <w:rsid w:val="00CA5FD8"/>
    <w:rsid w:val="00CF09AF"/>
    <w:rsid w:val="00ED601C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2239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35</cp:revision>
  <cp:lastPrinted>2019-04-15T13:02:00Z</cp:lastPrinted>
  <dcterms:created xsi:type="dcterms:W3CDTF">2019-04-11T08:46:00Z</dcterms:created>
  <dcterms:modified xsi:type="dcterms:W3CDTF">2019-07-15T09:53:00Z</dcterms:modified>
</cp:coreProperties>
</file>